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2E526D"/>
          <w:sz w:val="28"/>
        </w:rPr>
        <w:t xml:space="preserve">[PERSON_001]</w:t>
      </w:r>
    </w:p>
    <w:p>
      <w:pPr>
        <w:pStyle w:val="Title"/>
        <w:jc w:val="center"/>
      </w:pPr>
      <w:r>
        <w:t>Disaster Recovery Test Report</w:t>
      </w:r>
    </w:p>
    <w:p>
      <w:pPr>
        <w:jc w:val="center"/>
      </w:pPr>
      <w:r>
        <w:rPr>
          <w:rFonts w:ascii="Arial" w:hAnsi="Arial"/>
          <w:b/>
          <w:color w:val="2E526D"/>
          <w:sz w:val="26"/>
        </w:rPr>
        <w:t>Backup Restore Validation and Production Migration</w:t>
        <w:br/>
        <w:t>Microsoft Azure to OVHcloud</w:t>
      </w:r>
    </w:p>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2E526D"/>
          </w:tcPr>
          <w:p>
            <w:pPr>
              <w:spacing w:after="0"/>
            </w:pPr>
            <w:r/>
            <w:r>
              <w:rPr>
                <w:rFonts w:ascii="Arial" w:hAnsi="Arial"/>
                <w:b/>
                <w:color w:val="FFFFFF"/>
                <w:sz w:val="18"/>
              </w:rPr>
              <w:t>Organization</w:t>
            </w:r>
          </w:p>
        </w:tc>
        <w:tc>
          <w:tcPr>
            <w:tcW w:type="dxa" w:w="5040"/>
            <w:vAlign w:val="center"/>
          </w:tcPr>
          <w:p>
            <w:pPr>
              <w:spacing w:after="0"/>
            </w:pPr>
            <w:r/>
            <w:r>
              <w:rPr>
                <w:rFonts w:ascii="Arial" w:hAnsi="Arial"/>
                <w:b w:val="0"/>
                <w:sz w:val="18"/>
              </w:rPr>
              <w:t xml:space="preserve">[PERSON_002].</w:t>
            </w:r>
          </w:p>
        </w:tc>
      </w:tr>
      <w:tr>
        <w:tc>
          <w:tcPr>
            <w:tcW w:type="dxa" w:w="5040"/>
            <w:vAlign w:val="center"/>
            <w:shd w:fill="2E526D"/>
          </w:tcPr>
          <w:p>
            <w:pPr>
              <w:spacing w:after="0"/>
            </w:pPr>
            <w:r/>
            <w:r>
              <w:rPr>
                <w:rFonts w:ascii="Arial" w:hAnsi="Arial"/>
                <w:b/>
                <w:color w:val="FFFFFF"/>
                <w:sz w:val="18"/>
              </w:rPr>
              <w:t>Exercise period</w:t>
            </w:r>
          </w:p>
        </w:tc>
        <w:tc>
          <w:tcPr>
            <w:tcW w:type="dxa" w:w="5040"/>
            <w:vAlign w:val="center"/>
          </w:tcPr>
          <w:p>
            <w:pPr>
              <w:spacing w:after="0"/>
            </w:pPr>
            <w:r/>
            <w:r>
              <w:rPr>
                <w:rFonts w:ascii="Arial" w:hAnsi="Arial"/>
                <w:b w:val="0"/>
                <w:sz w:val="18"/>
              </w:rPr>
              <w:t xml:space="preserve">[DATE_001] - [DATE_002]</w:t>
            </w:r>
          </w:p>
        </w:tc>
      </w:tr>
      <w:tr>
        <w:tc>
          <w:tcPr>
            <w:tcW w:type="dxa" w:w="5040"/>
            <w:vAlign w:val="center"/>
            <w:shd w:fill="2E526D"/>
          </w:tcPr>
          <w:p>
            <w:pPr>
              <w:spacing w:after="0"/>
            </w:pPr>
            <w:r/>
            <w:r>
              <w:rPr>
                <w:rFonts w:ascii="Arial" w:hAnsi="Arial"/>
                <w:b/>
                <w:color w:val="FFFFFF"/>
                <w:sz w:val="18"/>
              </w:rPr>
              <w:t>Actual recovery validation</w:t>
            </w:r>
          </w:p>
        </w:tc>
        <w:tc>
          <w:tcPr>
            <w:tcW w:type="dxa" w:w="5040"/>
            <w:vAlign w:val="center"/>
          </w:tcPr>
          <w:p>
            <w:pPr>
              <w:spacing w:after="0"/>
            </w:pPr>
            <w:r/>
            <w:r>
              <w:rPr>
                <w:rFonts w:ascii="Arial" w:hAnsi="Arial"/>
                <w:b w:val="0"/>
                <w:sz w:val="18"/>
              </w:rPr>
              <w:t xml:space="preserve">[DATE_002]</w:t>
            </w:r>
          </w:p>
        </w:tc>
      </w:tr>
      <w:tr>
        <w:tc>
          <w:tcPr>
            <w:tcW w:type="dxa" w:w="5040"/>
            <w:vAlign w:val="center"/>
            <w:shd w:fill="2E526D"/>
          </w:tcPr>
          <w:p>
            <w:pPr>
              <w:spacing w:after="0"/>
            </w:pPr>
            <w:r/>
            <w:r>
              <w:rPr>
                <w:rFonts w:ascii="Arial" w:hAnsi="Arial"/>
                <w:b/>
                <w:color w:val="FFFFFF"/>
                <w:sz w:val="18"/>
              </w:rPr>
              <w:t>Document version</w:t>
            </w:r>
          </w:p>
        </w:tc>
        <w:tc>
          <w:tcPr>
            <w:tcW w:type="dxa" w:w="5040"/>
            <w:vAlign w:val="center"/>
          </w:tcPr>
          <w:p>
            <w:pPr>
              <w:spacing w:after="0"/>
            </w:pPr>
            <w:r/>
            <w:r>
              <w:rPr>
                <w:rFonts w:ascii="Arial" w:hAnsi="Arial"/>
                <w:b w:val="0"/>
                <w:sz w:val="18"/>
              </w:rPr>
              <w:t>1.0</w:t>
            </w:r>
          </w:p>
        </w:tc>
      </w:tr>
      <w:tr>
        <w:tc>
          <w:tcPr>
            <w:tcW w:type="dxa" w:w="5040"/>
            <w:vAlign w:val="center"/>
            <w:shd w:fill="2E526D"/>
          </w:tcPr>
          <w:p>
            <w:pPr>
              <w:spacing w:after="0"/>
            </w:pPr>
            <w:r/>
            <w:r>
              <w:rPr>
                <w:rFonts w:ascii="Arial" w:hAnsi="Arial"/>
                <w:b/>
                <w:color w:val="FFFFFF"/>
                <w:sz w:val="18"/>
              </w:rPr>
              <w:t>Classification</w:t>
            </w:r>
          </w:p>
        </w:tc>
        <w:tc>
          <w:tcPr>
            <w:tcW w:type="dxa" w:w="5040"/>
            <w:vAlign w:val="center"/>
          </w:tcPr>
          <w:p>
            <w:pPr>
              <w:spacing w:after="0"/>
            </w:pPr>
            <w:r/>
            <w:r>
              <w:rPr>
                <w:rFonts w:ascii="Arial" w:hAnsi="Arial"/>
                <w:b w:val="0"/>
                <w:sz w:val="18"/>
              </w:rPr>
              <w:t>Confidential - ISMS record</w:t>
            </w:r>
          </w:p>
        </w:tc>
      </w:tr>
      <w:tr>
        <w:tc>
          <w:tcPr>
            <w:tcW w:type="dxa" w:w="5040"/>
            <w:vAlign w:val="center"/>
            <w:shd w:fill="2E526D"/>
          </w:tcPr>
          <w:p>
            <w:pPr>
              <w:spacing w:after="0"/>
            </w:pPr>
            <w:r/>
            <w:r>
              <w:rPr>
                <w:rFonts w:ascii="Arial" w:hAnsi="Arial"/>
                <w:b/>
                <w:color w:val="FFFFFF"/>
                <w:sz w:val="18"/>
              </w:rPr>
              <w:t>Overall result</w:t>
            </w:r>
          </w:p>
        </w:tc>
        <w:tc>
          <w:tcPr>
            <w:tcW w:type="dxa" w:w="5040"/>
            <w:vAlign w:val="center"/>
          </w:tcPr>
          <w:p>
            <w:pPr>
              <w:spacing w:after="0"/>
            </w:pPr>
            <w:r/>
            <w:r>
              <w:rPr>
                <w:rFonts w:ascii="Arial" w:hAnsi="Arial"/>
                <w:b w:val="0"/>
                <w:sz w:val="18"/>
              </w:rPr>
              <w:t>PASS</w:t>
            </w:r>
          </w:p>
        </w:tc>
      </w:tr>
    </w:tbl>
    <w:p/>
    <w:p>
      <w:pPr>
        <w:jc w:val="center"/>
      </w:pPr>
      <w:r>
        <w:rPr>
          <w:b/>
          <w:color w:val="18324A"/>
          <w:sz w:val="22"/>
        </w:rPr>
        <w:t>Recovery objectives achieved: RTO approximately 1 hour | RPO 0 (no data loss)</w:t>
      </w:r>
    </w:p>
    <w:p>
      <w:r>
        <w:br w:type="page"/>
      </w:r>
    </w:p>
    <w:p>
      <w:pPr>
        <w:pStyle w:val="Heading1"/>
      </w:pPr>
      <w:r>
        <w:t>1. Purpose and objective</w:t>
      </w:r>
    </w:p>
    <w:p>
      <w:r>
        <w:t xml:space="preserve">This report records the execution and outcome of [PERSON_002].'s [DATE_003] disaster recovery exercise. The exercise was initiated on [DATE_001] and concluded with an actual backup restore and production migration on [DATE_002]. The purpose was to validate that [PERSON_001] can recover its critical platform and data from backup within the recovery objectives defined for critical systems.</w:t>
      </w:r>
    </w:p>
    <w:p>
      <w:r>
        <w:t>Rather than relying only on a simulated or tabletop scenario, the recovery capability was validated during a real infrastructure migration from Microsoft Azure to OVHcloud. The migration therefore provided practical evidence of backup availability, restore capability, data integrity, technical recovery and functional operation.</w:t>
      </w:r>
    </w:p>
    <w:p>
      <w:pPr>
        <w:pStyle w:val="Heading1"/>
      </w:pPr>
      <w:r>
        <w:t>2. Scope</w:t>
      </w:r>
    </w:p>
    <w:p>
      <w:pPr>
        <w:pStyle w:val="ListBullet"/>
        <w:spacing w:after="40"/>
      </w:pPr>
      <w:r>
        <w:t xml:space="preserve">[PERSON_001] production database and associated application data.</w:t>
      </w:r>
    </w:p>
    <w:p>
      <w:pPr>
        <w:pStyle w:val="ListBullet"/>
        <w:spacing w:after="40"/>
      </w:pPr>
      <w:r>
        <w:t>Backup and restore capability from the Microsoft Azure environment.</w:t>
      </w:r>
    </w:p>
    <w:p>
      <w:pPr>
        <w:pStyle w:val="ListBullet"/>
        <w:spacing w:after="40"/>
      </w:pPr>
      <w:r>
        <w:t>Recovery into the new OVHcloud environment, first to staging and subsequently to production.</w:t>
      </w:r>
    </w:p>
    <w:p>
      <w:pPr>
        <w:pStyle w:val="ListBullet"/>
        <w:spacing w:after="40"/>
      </w:pPr>
      <w:r>
        <w:t>Technical operation of the database, infrastructure and relevant services after recovery.</w:t>
      </w:r>
    </w:p>
    <w:p>
      <w:pPr>
        <w:pStyle w:val="ListBullet"/>
        <w:spacing w:after="40"/>
      </w:pPr>
      <w:r>
        <w:t xml:space="preserve">Functional operation of the [PERSON_001] platform after recovery.</w:t>
      </w:r>
    </w:p>
    <w:p>
      <w:pPr>
        <w:pStyle w:val="ListBullet"/>
        <w:spacing w:after="40"/>
      </w:pPr>
      <w:r>
        <w:t>Verification workflow and Sumsub integration after production cutover.</w:t>
      </w:r>
    </w:p>
    <w:p>
      <w:pPr>
        <w:pStyle w:val="ListBullet"/>
        <w:spacing w:after="40"/>
      </w:pPr>
      <w:r>
        <w:t xml:space="preserve">Validation against [PERSON_001]'s recovery objectives: RTO &lt;= 24 hours and RPO &lt;= 24 hours.</w:t>
      </w:r>
    </w:p>
    <w:p>
      <w:pPr>
        <w:pStyle w:val="Heading1"/>
      </w:pPr>
      <w:r>
        <w:t>3. Roles and responsibilities</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2E526D"/>
          </w:tcPr>
          <w:p>
            <w:pPr>
              <w:spacing w:after="0"/>
            </w:pPr>
            <w:r/>
            <w:r>
              <w:rPr>
                <w:rFonts w:ascii="Arial" w:hAnsi="Arial"/>
                <w:b/>
                <w:color w:val="FFFFFF"/>
                <w:sz w:val="18"/>
              </w:rPr>
              <w:t xml:space="preserve">[PERSON_003]</w:t>
            </w:r>
          </w:p>
        </w:tc>
        <w:tc>
          <w:tcPr>
            <w:tcW w:type="dxa" w:w="5040"/>
            <w:vAlign w:val="center"/>
          </w:tcPr>
          <w:p>
            <w:pPr>
              <w:spacing w:after="0"/>
            </w:pPr>
            <w:r/>
            <w:r>
              <w:rPr>
                <w:rFonts w:ascii="Arial" w:hAnsi="Arial"/>
                <w:b w:val="0"/>
                <w:sz w:val="18"/>
              </w:rPr>
              <w:t xml:space="preserve">[PERSON_002]. - ISMS Manager / Test Owner; coordination, business validation and formal acceptance.</w:t>
            </w:r>
          </w:p>
        </w:tc>
      </w:tr>
      <w:tr>
        <w:tc>
          <w:tcPr>
            <w:tcW w:type="dxa" w:w="5040"/>
            <w:vAlign w:val="center"/>
            <w:shd w:fill="2E526D"/>
          </w:tcPr>
          <w:p>
            <w:pPr>
              <w:spacing w:after="0"/>
            </w:pPr>
            <w:r/>
            <w:r>
              <w:rPr>
                <w:rFonts w:ascii="Arial" w:hAnsi="Arial"/>
                <w:b/>
                <w:color w:val="FFFFFF"/>
                <w:sz w:val="18"/>
              </w:rPr>
              <w:t xml:space="preserve">[PERSON_004]</w:t>
            </w:r>
          </w:p>
        </w:tc>
        <w:tc>
          <w:tcPr>
            <w:tcW w:type="dxa" w:w="5040"/>
            <w:vAlign w:val="center"/>
          </w:tcPr>
          <w:p>
            <w:pPr>
              <w:spacing w:after="0"/>
            </w:pPr>
            <w:r/>
            <w:r>
              <w:rPr>
                <w:rFonts w:ascii="Arial" w:hAnsi="Arial"/>
                <w:b w:val="0"/>
                <w:sz w:val="18"/>
              </w:rPr>
              <w:t xml:space="preserve">[PERSON_005] - [ORGANIZATION_001]; technical restore, migration, infrastructure validation and technical confirmation.</w:t>
            </w:r>
          </w:p>
        </w:tc>
      </w:tr>
    </w:tbl>
    <w:p/>
    <w:p>
      <w:pPr>
        <w:pStyle w:val="Heading1"/>
      </w:pPr>
      <w:r>
        <w:t>4. Recovery objectives and acceptance criteria</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2E526D"/>
          </w:tcPr>
          <w:p>
            <w:pPr>
              <w:spacing w:after="0"/>
            </w:pPr>
            <w:r/>
            <w:r>
              <w:rPr>
                <w:rFonts w:ascii="Arial" w:hAnsi="Arial"/>
                <w:b/>
                <w:color w:val="FFFFFF"/>
                <w:sz w:val="18"/>
              </w:rPr>
              <w:t>Metric</w:t>
            </w:r>
          </w:p>
        </w:tc>
        <w:tc>
          <w:tcPr>
            <w:tcW w:type="dxa" w:w="2520"/>
            <w:vAlign w:val="center"/>
            <w:shd w:fill="2E526D"/>
          </w:tcPr>
          <w:p>
            <w:pPr>
              <w:spacing w:after="0"/>
            </w:pPr>
            <w:r/>
            <w:r>
              <w:rPr>
                <w:rFonts w:ascii="Arial" w:hAnsi="Arial"/>
                <w:b/>
                <w:color w:val="FFFFFF"/>
                <w:sz w:val="18"/>
              </w:rPr>
              <w:t>Target</w:t>
            </w:r>
          </w:p>
        </w:tc>
        <w:tc>
          <w:tcPr>
            <w:tcW w:type="dxa" w:w="2520"/>
            <w:vAlign w:val="center"/>
            <w:shd w:fill="2E526D"/>
          </w:tcPr>
          <w:p>
            <w:pPr>
              <w:spacing w:after="0"/>
            </w:pPr>
            <w:r/>
            <w:r>
              <w:rPr>
                <w:rFonts w:ascii="Arial" w:hAnsi="Arial"/>
                <w:b/>
                <w:color w:val="FFFFFF"/>
                <w:sz w:val="18"/>
              </w:rPr>
              <w:t>Observed</w:t>
            </w:r>
          </w:p>
        </w:tc>
        <w:tc>
          <w:tcPr>
            <w:tcW w:type="dxa" w:w="2520"/>
            <w:vAlign w:val="center"/>
            <w:shd w:fill="2E526D"/>
          </w:tcPr>
          <w:p>
            <w:pPr>
              <w:spacing w:after="0"/>
            </w:pPr>
            <w:r/>
            <w:r>
              <w:rPr>
                <w:rFonts w:ascii="Arial" w:hAnsi="Arial"/>
                <w:b/>
                <w:color w:val="FFFFFF"/>
                <w:sz w:val="18"/>
              </w:rPr>
              <w:t>Result</w:t>
            </w:r>
          </w:p>
        </w:tc>
      </w:tr>
      <w:tr>
        <w:tc>
          <w:tcPr>
            <w:tcW w:type="dxa" w:w="2520"/>
            <w:vAlign w:val="center"/>
          </w:tcPr>
          <w:p>
            <w:pPr>
              <w:spacing w:after="0"/>
            </w:pPr>
            <w:r/>
            <w:r>
              <w:rPr>
                <w:rFonts w:ascii="Arial" w:hAnsi="Arial"/>
                <w:b w:val="0"/>
                <w:sz w:val="18"/>
              </w:rPr>
              <w:t>RTO</w:t>
            </w:r>
          </w:p>
        </w:tc>
        <w:tc>
          <w:tcPr>
            <w:tcW w:type="dxa" w:w="2520"/>
            <w:vAlign w:val="center"/>
          </w:tcPr>
          <w:p>
            <w:pPr>
              <w:spacing w:after="0"/>
            </w:pPr>
            <w:r/>
            <w:r>
              <w:rPr>
                <w:rFonts w:ascii="Arial" w:hAnsi="Arial"/>
                <w:b w:val="0"/>
                <w:sz w:val="18"/>
              </w:rPr>
              <w:t>&lt;= 24 hours</w:t>
            </w:r>
          </w:p>
        </w:tc>
        <w:tc>
          <w:tcPr>
            <w:tcW w:type="dxa" w:w="2520"/>
            <w:vAlign w:val="center"/>
          </w:tcPr>
          <w:p>
            <w:pPr>
              <w:spacing w:after="0"/>
            </w:pPr>
            <w:r/>
            <w:r>
              <w:rPr>
                <w:rFonts w:ascii="Arial" w:hAnsi="Arial"/>
                <w:b w:val="0"/>
                <w:sz w:val="18"/>
              </w:rPr>
              <w:t>Approximately 1 hour</w:t>
            </w:r>
          </w:p>
        </w:tc>
        <w:tc>
          <w:tcPr>
            <w:tcW w:type="dxa" w:w="2520"/>
            <w:vAlign w:val="center"/>
          </w:tcPr>
          <w:p>
            <w:pPr>
              <w:spacing w:after="0"/>
            </w:pPr>
            <w:r/>
            <w:r>
              <w:rPr>
                <w:rFonts w:ascii="Arial" w:hAnsi="Arial"/>
                <w:b/>
                <w:sz w:val="18"/>
              </w:rPr>
              <w:t>PASS</w:t>
            </w:r>
          </w:p>
        </w:tc>
      </w:tr>
      <w:tr>
        <w:tc>
          <w:tcPr>
            <w:tcW w:type="dxa" w:w="2520"/>
            <w:vAlign w:val="center"/>
          </w:tcPr>
          <w:p>
            <w:pPr>
              <w:spacing w:after="0"/>
            </w:pPr>
            <w:r/>
            <w:r>
              <w:rPr>
                <w:rFonts w:ascii="Arial" w:hAnsi="Arial"/>
                <w:b w:val="0"/>
                <w:sz w:val="18"/>
              </w:rPr>
              <w:t>RPO</w:t>
            </w:r>
          </w:p>
        </w:tc>
        <w:tc>
          <w:tcPr>
            <w:tcW w:type="dxa" w:w="2520"/>
            <w:vAlign w:val="center"/>
          </w:tcPr>
          <w:p>
            <w:pPr>
              <w:spacing w:after="0"/>
            </w:pPr>
            <w:r/>
            <w:r>
              <w:rPr>
                <w:rFonts w:ascii="Arial" w:hAnsi="Arial"/>
                <w:b w:val="0"/>
                <w:sz w:val="18"/>
              </w:rPr>
              <w:t>&lt;= 24 hours</w:t>
            </w:r>
          </w:p>
        </w:tc>
        <w:tc>
          <w:tcPr>
            <w:tcW w:type="dxa" w:w="2520"/>
            <w:vAlign w:val="center"/>
          </w:tcPr>
          <w:p>
            <w:pPr>
              <w:spacing w:after="0"/>
            </w:pPr>
            <w:r/>
            <w:r>
              <w:rPr>
                <w:rFonts w:ascii="Arial" w:hAnsi="Arial"/>
                <w:b w:val="0"/>
                <w:sz w:val="18"/>
              </w:rPr>
              <w:t>0 - no data loss identified</w:t>
            </w:r>
          </w:p>
        </w:tc>
        <w:tc>
          <w:tcPr>
            <w:tcW w:type="dxa" w:w="2520"/>
            <w:vAlign w:val="center"/>
          </w:tcPr>
          <w:p>
            <w:pPr>
              <w:spacing w:after="0"/>
            </w:pPr>
            <w:r/>
            <w:r>
              <w:rPr>
                <w:rFonts w:ascii="Arial" w:hAnsi="Arial"/>
                <w:b/>
                <w:sz w:val="18"/>
              </w:rPr>
              <w:t>PASS</w:t>
            </w:r>
          </w:p>
        </w:tc>
      </w:tr>
      <w:tr>
        <w:tc>
          <w:tcPr>
            <w:tcW w:type="dxa" w:w="2520"/>
            <w:vAlign w:val="center"/>
          </w:tcPr>
          <w:p>
            <w:pPr>
              <w:spacing w:after="0"/>
            </w:pPr>
            <w:r/>
            <w:r>
              <w:rPr>
                <w:rFonts w:ascii="Arial" w:hAnsi="Arial"/>
                <w:b w:val="0"/>
                <w:sz w:val="18"/>
              </w:rPr>
              <w:t>Data integrity</w:t>
            </w:r>
          </w:p>
        </w:tc>
        <w:tc>
          <w:tcPr>
            <w:tcW w:type="dxa" w:w="2520"/>
            <w:vAlign w:val="center"/>
          </w:tcPr>
          <w:p>
            <w:pPr>
              <w:spacing w:after="0"/>
            </w:pPr>
            <w:r/>
            <w:r>
              <w:rPr>
                <w:rFonts w:ascii="Arial" w:hAnsi="Arial"/>
                <w:b w:val="0"/>
                <w:sz w:val="18"/>
              </w:rPr>
              <w:t>Recovered data available and usable</w:t>
            </w:r>
          </w:p>
        </w:tc>
        <w:tc>
          <w:tcPr>
            <w:tcW w:type="dxa" w:w="2520"/>
            <w:vAlign w:val="center"/>
          </w:tcPr>
          <w:p>
            <w:pPr>
              <w:spacing w:after="0"/>
            </w:pPr>
            <w:r/>
            <w:r>
              <w:rPr>
                <w:rFonts w:ascii="Arial" w:hAnsi="Arial"/>
                <w:b w:val="0"/>
                <w:sz w:val="18"/>
              </w:rPr>
              <w:t>Confirmed</w:t>
            </w:r>
          </w:p>
        </w:tc>
        <w:tc>
          <w:tcPr>
            <w:tcW w:type="dxa" w:w="2520"/>
            <w:vAlign w:val="center"/>
          </w:tcPr>
          <w:p>
            <w:pPr>
              <w:spacing w:after="0"/>
            </w:pPr>
            <w:r/>
            <w:r>
              <w:rPr>
                <w:rFonts w:ascii="Arial" w:hAnsi="Arial"/>
                <w:b/>
                <w:sz w:val="18"/>
              </w:rPr>
              <w:t>PASS</w:t>
            </w:r>
          </w:p>
        </w:tc>
      </w:tr>
      <w:tr>
        <w:tc>
          <w:tcPr>
            <w:tcW w:type="dxa" w:w="2520"/>
            <w:vAlign w:val="center"/>
          </w:tcPr>
          <w:p>
            <w:pPr>
              <w:spacing w:after="0"/>
            </w:pPr>
            <w:r/>
            <w:r>
              <w:rPr>
                <w:rFonts w:ascii="Arial" w:hAnsi="Arial"/>
                <w:b w:val="0"/>
                <w:sz w:val="18"/>
              </w:rPr>
              <w:t>Platform operation</w:t>
            </w:r>
          </w:p>
        </w:tc>
        <w:tc>
          <w:tcPr>
            <w:tcW w:type="dxa" w:w="2520"/>
            <w:vAlign w:val="center"/>
          </w:tcPr>
          <w:p>
            <w:pPr>
              <w:spacing w:after="0"/>
            </w:pPr>
            <w:r/>
            <w:r>
              <w:rPr>
                <w:rFonts w:ascii="Arial" w:hAnsi="Arial"/>
                <w:b w:val="0"/>
                <w:sz w:val="18"/>
              </w:rPr>
              <w:t>Core functions operational</w:t>
            </w:r>
          </w:p>
        </w:tc>
        <w:tc>
          <w:tcPr>
            <w:tcW w:type="dxa" w:w="2520"/>
            <w:vAlign w:val="center"/>
          </w:tcPr>
          <w:p>
            <w:pPr>
              <w:spacing w:after="0"/>
            </w:pPr>
            <w:r/>
            <w:r>
              <w:rPr>
                <w:rFonts w:ascii="Arial" w:hAnsi="Arial"/>
                <w:b w:val="0"/>
                <w:sz w:val="18"/>
              </w:rPr>
              <w:t>Confirmed</w:t>
            </w:r>
          </w:p>
        </w:tc>
        <w:tc>
          <w:tcPr>
            <w:tcW w:type="dxa" w:w="2520"/>
            <w:vAlign w:val="center"/>
          </w:tcPr>
          <w:p>
            <w:pPr>
              <w:spacing w:after="0"/>
            </w:pPr>
            <w:r/>
            <w:r>
              <w:rPr>
                <w:rFonts w:ascii="Arial" w:hAnsi="Arial"/>
                <w:b/>
                <w:sz w:val="18"/>
              </w:rPr>
              <w:t>PASS</w:t>
            </w:r>
          </w:p>
        </w:tc>
      </w:tr>
    </w:tbl>
    <w:p>
      <w:pPr>
        <w:pStyle w:val="Heading1"/>
      </w:pPr>
      <w:r>
        <w:t>5. Exercise timeline</w:t>
      </w:r>
    </w:p>
    <w:p>
      <w:pPr>
        <w:pStyle w:val="Heading2"/>
      </w:pPr>
      <w:r>
        <w:t xml:space="preserve">5.1 Phase 1 - Initiation and preparation, [DATE_001]</w:t>
      </w:r>
    </w:p>
    <w:p>
      <w:r>
        <w:t xml:space="preserve">The disaster recovery exercise commenced on [DATE_001]. This phase covered the start of the recovery test, preparation of the recovery approach and review of the backup/restore process in advance of the planned infrastructure migration.</w:t>
      </w:r>
    </w:p>
    <w:p>
      <w:pPr>
        <w:pStyle w:val="Heading2"/>
      </w:pPr>
      <w:r>
        <w:t xml:space="preserve">5.2 Phase 2 - Actual recovery validation, [DATE_002]</w:t>
      </w:r>
    </w:p>
    <w:p>
      <w:r>
        <w:t xml:space="preserve">On [DATE_002], the recovery procedure was executed as part of the planned production migration from Microsoft Azure to OVHcloud. The migration, temporary service unavailability and technical activities were planned, coordinated between [PERSON_001] and [PERSON_005], and communicated in advance to the relevant stakeholders.</w:t>
      </w:r>
    </w:p>
    <w:p>
      <w:r>
        <w:br w:type="page"/>
      </w:r>
    </w:p>
    <w:p>
      <w:pPr>
        <w:pStyle w:val="Heading1"/>
      </w:pPr>
      <w:r>
        <w:t>6. Recovery execution</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2E526D"/>
          </w:tcPr>
          <w:p>
            <w:pPr>
              <w:spacing w:after="0"/>
            </w:pPr>
            <w:r/>
            <w:r>
              <w:rPr>
                <w:rFonts w:ascii="Arial" w:hAnsi="Arial"/>
                <w:b/>
                <w:color w:val="FFFFFF"/>
                <w:sz w:val="18"/>
              </w:rPr>
              <w:t>Step</w:t>
            </w:r>
          </w:p>
        </w:tc>
        <w:tc>
          <w:tcPr>
            <w:tcW w:type="dxa" w:w="3360"/>
            <w:vAlign w:val="center"/>
            <w:shd w:fill="2E526D"/>
          </w:tcPr>
          <w:p>
            <w:pPr>
              <w:spacing w:after="0"/>
            </w:pPr>
            <w:r/>
            <w:r>
              <w:rPr>
                <w:rFonts w:ascii="Arial" w:hAnsi="Arial"/>
                <w:b/>
                <w:color w:val="FFFFFF"/>
                <w:sz w:val="18"/>
              </w:rPr>
              <w:t>Activity</w:t>
            </w:r>
          </w:p>
        </w:tc>
        <w:tc>
          <w:tcPr>
            <w:tcW w:type="dxa" w:w="3360"/>
            <w:vAlign w:val="center"/>
            <w:shd w:fill="2E526D"/>
          </w:tcPr>
          <w:p>
            <w:pPr>
              <w:spacing w:after="0"/>
            </w:pPr>
            <w:r/>
            <w:r>
              <w:rPr>
                <w:rFonts w:ascii="Arial" w:hAnsi="Arial"/>
                <w:b/>
                <w:color w:val="FFFFFF"/>
                <w:sz w:val="18"/>
              </w:rPr>
              <w:t>Outcome</w:t>
            </w:r>
          </w:p>
        </w:tc>
      </w:tr>
      <w:tr>
        <w:tc>
          <w:tcPr>
            <w:tcW w:type="dxa" w:w="3360"/>
            <w:vAlign w:val="center"/>
          </w:tcPr>
          <w:p>
            <w:pPr>
              <w:spacing w:after="0"/>
            </w:pPr>
            <w:r/>
            <w:r>
              <w:rPr>
                <w:rFonts w:ascii="Arial" w:hAnsi="Arial"/>
                <w:b/>
                <w:sz w:val="18"/>
              </w:rPr>
              <w:t>1</w:t>
            </w:r>
          </w:p>
        </w:tc>
        <w:tc>
          <w:tcPr>
            <w:tcW w:type="dxa" w:w="3360"/>
            <w:vAlign w:val="center"/>
          </w:tcPr>
          <w:p>
            <w:pPr>
              <w:spacing w:after="0"/>
            </w:pPr>
            <w:r/>
            <w:r>
              <w:rPr>
                <w:rFonts w:ascii="Arial" w:hAnsi="Arial"/>
                <w:b/>
                <w:sz w:val="18"/>
              </w:rPr>
              <w:t>Backup selection</w:t>
            </w:r>
          </w:p>
        </w:tc>
        <w:tc>
          <w:tcPr>
            <w:tcW w:type="dxa" w:w="3360"/>
            <w:vAlign w:val="center"/>
          </w:tcPr>
          <w:p>
            <w:pPr>
              <w:spacing w:after="0"/>
            </w:pPr>
            <w:r/>
            <w:r>
              <w:rPr>
                <w:rFonts w:ascii="Arial" w:hAnsi="Arial"/>
                <w:b w:val="0"/>
                <w:sz w:val="18"/>
              </w:rPr>
              <w:t xml:space="preserve">The most recent available backup created immediately prior to the migration was selected for recovery. [PERSON_006] exact backup timestamp was not separately recorded in this report.</w:t>
            </w:r>
          </w:p>
        </w:tc>
      </w:tr>
      <w:tr>
        <w:tc>
          <w:tcPr>
            <w:tcW w:type="dxa" w:w="3360"/>
            <w:vAlign w:val="center"/>
          </w:tcPr>
          <w:p>
            <w:pPr>
              <w:spacing w:after="0"/>
            </w:pPr>
            <w:r/>
            <w:r>
              <w:rPr>
                <w:rFonts w:ascii="Arial" w:hAnsi="Arial"/>
                <w:b/>
                <w:sz w:val="18"/>
              </w:rPr>
              <w:t>2</w:t>
            </w:r>
          </w:p>
        </w:tc>
        <w:tc>
          <w:tcPr>
            <w:tcW w:type="dxa" w:w="3360"/>
            <w:vAlign w:val="center"/>
          </w:tcPr>
          <w:p>
            <w:pPr>
              <w:spacing w:after="0"/>
            </w:pPr>
            <w:r/>
            <w:r>
              <w:rPr>
                <w:rFonts w:ascii="Arial" w:hAnsi="Arial"/>
                <w:b/>
                <w:sz w:val="18"/>
              </w:rPr>
              <w:t>Restore to staging</w:t>
            </w:r>
          </w:p>
        </w:tc>
        <w:tc>
          <w:tcPr>
            <w:tcW w:type="dxa" w:w="3360"/>
            <w:vAlign w:val="center"/>
          </w:tcPr>
          <w:p>
            <w:pPr>
              <w:spacing w:after="0"/>
            </w:pPr>
            <w:r/>
            <w:r>
              <w:rPr>
                <w:rFonts w:ascii="Arial" w:hAnsi="Arial"/>
                <w:b w:val="0"/>
                <w:sz w:val="18"/>
              </w:rPr>
              <w:t xml:space="preserve">[PERSON_005] restored the backup into the OVHcloud staging environment.</w:t>
            </w:r>
          </w:p>
        </w:tc>
      </w:tr>
      <w:tr>
        <w:tc>
          <w:tcPr>
            <w:tcW w:type="dxa" w:w="3360"/>
            <w:vAlign w:val="center"/>
          </w:tcPr>
          <w:p>
            <w:pPr>
              <w:spacing w:after="0"/>
            </w:pPr>
            <w:r/>
            <w:r>
              <w:rPr>
                <w:rFonts w:ascii="Arial" w:hAnsi="Arial"/>
                <w:b/>
                <w:sz w:val="18"/>
              </w:rPr>
              <w:t>3</w:t>
            </w:r>
          </w:p>
        </w:tc>
        <w:tc>
          <w:tcPr>
            <w:tcW w:type="dxa" w:w="3360"/>
            <w:vAlign w:val="center"/>
          </w:tcPr>
          <w:p>
            <w:pPr>
              <w:spacing w:after="0"/>
            </w:pPr>
            <w:r/>
            <w:r>
              <w:rPr>
                <w:rFonts w:ascii="Arial" w:hAnsi="Arial"/>
                <w:b/>
                <w:sz w:val="18"/>
              </w:rPr>
              <w:t>Staging validation</w:t>
            </w:r>
          </w:p>
        </w:tc>
        <w:tc>
          <w:tcPr>
            <w:tcW w:type="dxa" w:w="3360"/>
            <w:vAlign w:val="center"/>
          </w:tcPr>
          <w:p>
            <w:pPr>
              <w:spacing w:after="0"/>
            </w:pPr>
            <w:r/>
            <w:r>
              <w:rPr>
                <w:rFonts w:ascii="Arial" w:hAnsi="Arial"/>
                <w:b w:val="0"/>
                <w:sz w:val="18"/>
              </w:rPr>
              <w:t>The recovered environment and data were checked before production cutover.</w:t>
            </w:r>
          </w:p>
        </w:tc>
      </w:tr>
      <w:tr>
        <w:tc>
          <w:tcPr>
            <w:tcW w:type="dxa" w:w="3360"/>
            <w:vAlign w:val="center"/>
          </w:tcPr>
          <w:p>
            <w:pPr>
              <w:spacing w:after="0"/>
            </w:pPr>
            <w:r/>
            <w:r>
              <w:rPr>
                <w:rFonts w:ascii="Arial" w:hAnsi="Arial"/>
                <w:b/>
                <w:sz w:val="18"/>
              </w:rPr>
              <w:t>4</w:t>
            </w:r>
          </w:p>
        </w:tc>
        <w:tc>
          <w:tcPr>
            <w:tcW w:type="dxa" w:w="3360"/>
            <w:vAlign w:val="center"/>
          </w:tcPr>
          <w:p>
            <w:pPr>
              <w:spacing w:after="0"/>
            </w:pPr>
            <w:r/>
            <w:r>
              <w:rPr>
                <w:rFonts w:ascii="Arial" w:hAnsi="Arial"/>
                <w:b/>
                <w:sz w:val="18"/>
              </w:rPr>
              <w:t>Production cutover</w:t>
            </w:r>
          </w:p>
        </w:tc>
        <w:tc>
          <w:tcPr>
            <w:tcW w:type="dxa" w:w="3360"/>
            <w:vAlign w:val="center"/>
          </w:tcPr>
          <w:p>
            <w:pPr>
              <w:spacing w:after="0"/>
            </w:pPr>
            <w:r/>
            <w:r>
              <w:rPr>
                <w:rFonts w:ascii="Arial" w:hAnsi="Arial"/>
                <w:b w:val="0"/>
                <w:sz w:val="18"/>
              </w:rPr>
              <w:t>Following successful staging validation, the environment was moved to the OVHcloud production environment.</w:t>
            </w:r>
          </w:p>
        </w:tc>
      </w:tr>
      <w:tr>
        <w:tc>
          <w:tcPr>
            <w:tcW w:type="dxa" w:w="3360"/>
            <w:vAlign w:val="center"/>
          </w:tcPr>
          <w:p>
            <w:pPr>
              <w:spacing w:after="0"/>
            </w:pPr>
            <w:r/>
            <w:r>
              <w:rPr>
                <w:rFonts w:ascii="Arial" w:hAnsi="Arial"/>
                <w:b/>
                <w:sz w:val="18"/>
              </w:rPr>
              <w:t>5</w:t>
            </w:r>
          </w:p>
        </w:tc>
        <w:tc>
          <w:tcPr>
            <w:tcW w:type="dxa" w:w="3360"/>
            <w:vAlign w:val="center"/>
          </w:tcPr>
          <w:p>
            <w:pPr>
              <w:spacing w:after="0"/>
            </w:pPr>
            <w:r/>
            <w:r>
              <w:rPr>
                <w:rFonts w:ascii="Arial" w:hAnsi="Arial"/>
                <w:b/>
                <w:sz w:val="18"/>
              </w:rPr>
              <w:t>Technical validation</w:t>
            </w:r>
          </w:p>
        </w:tc>
        <w:tc>
          <w:tcPr>
            <w:tcW w:type="dxa" w:w="3360"/>
            <w:vAlign w:val="center"/>
          </w:tcPr>
          <w:p>
            <w:pPr>
              <w:spacing w:after="0"/>
            </w:pPr>
            <w:r/>
            <w:r>
              <w:rPr>
                <w:rFonts w:ascii="Arial" w:hAnsi="Arial"/>
                <w:b w:val="0"/>
                <w:sz w:val="18"/>
              </w:rPr>
              <w:t xml:space="preserve">[PERSON_005] confirmed that the database, infrastructure and relevant services were operational and stable after cutover.</w:t>
            </w:r>
          </w:p>
        </w:tc>
      </w:tr>
      <w:tr>
        <w:tc>
          <w:tcPr>
            <w:tcW w:type="dxa" w:w="3360"/>
            <w:vAlign w:val="center"/>
          </w:tcPr>
          <w:p>
            <w:pPr>
              <w:spacing w:after="0"/>
            </w:pPr>
            <w:r/>
            <w:r>
              <w:rPr>
                <w:rFonts w:ascii="Arial" w:hAnsi="Arial"/>
                <w:b/>
                <w:sz w:val="18"/>
              </w:rPr>
              <w:t>6</w:t>
            </w:r>
          </w:p>
        </w:tc>
        <w:tc>
          <w:tcPr>
            <w:tcW w:type="dxa" w:w="3360"/>
            <w:vAlign w:val="center"/>
          </w:tcPr>
          <w:p>
            <w:pPr>
              <w:spacing w:after="0"/>
            </w:pPr>
            <w:r/>
            <w:r>
              <w:rPr>
                <w:rFonts w:ascii="Arial" w:hAnsi="Arial"/>
                <w:b/>
                <w:sz w:val="18"/>
              </w:rPr>
              <w:t>Functional validation</w:t>
            </w:r>
          </w:p>
        </w:tc>
        <w:tc>
          <w:tcPr>
            <w:tcW w:type="dxa" w:w="3360"/>
            <w:vAlign w:val="center"/>
          </w:tcPr>
          <w:p>
            <w:pPr>
              <w:spacing w:after="0"/>
            </w:pPr>
            <w:r/>
            <w:r>
              <w:rPr>
                <w:rFonts w:ascii="Arial" w:hAnsi="Arial"/>
                <w:b w:val="0"/>
                <w:sz w:val="18"/>
              </w:rPr>
              <w:t xml:space="preserve">[PERSON_001] confirmed that the platform was accessible, existing data was present and usable, and core platform functionality operated correctly.</w:t>
            </w:r>
          </w:p>
        </w:tc>
      </w:tr>
      <w:tr>
        <w:tc>
          <w:tcPr>
            <w:tcW w:type="dxa" w:w="3360"/>
            <w:vAlign w:val="center"/>
          </w:tcPr>
          <w:p>
            <w:pPr>
              <w:spacing w:after="0"/>
            </w:pPr>
            <w:r/>
            <w:r>
              <w:rPr>
                <w:rFonts w:ascii="Arial" w:hAnsi="Arial"/>
                <w:b/>
                <w:sz w:val="18"/>
              </w:rPr>
              <w:t>7</w:t>
            </w:r>
          </w:p>
        </w:tc>
        <w:tc>
          <w:tcPr>
            <w:tcW w:type="dxa" w:w="3360"/>
            <w:vAlign w:val="center"/>
          </w:tcPr>
          <w:p>
            <w:pPr>
              <w:spacing w:after="0"/>
            </w:pPr>
            <w:r/>
            <w:r>
              <w:rPr>
                <w:rFonts w:ascii="Arial" w:hAnsi="Arial"/>
                <w:b/>
                <w:sz w:val="18"/>
              </w:rPr>
              <w:t>Integration validation</w:t>
            </w:r>
          </w:p>
        </w:tc>
        <w:tc>
          <w:tcPr>
            <w:tcW w:type="dxa" w:w="3360"/>
            <w:vAlign w:val="center"/>
          </w:tcPr>
          <w:p>
            <w:pPr>
              <w:spacing w:after="0"/>
            </w:pPr>
            <w:r/>
            <w:r>
              <w:rPr>
                <w:rFonts w:ascii="Arial" w:hAnsi="Arial"/>
                <w:b w:val="0"/>
                <w:sz w:val="18"/>
              </w:rPr>
              <w:t>A new verification was performed and the Sumsub integration and processing of the verification/result operated correctly.</w:t>
            </w:r>
          </w:p>
        </w:tc>
      </w:tr>
    </w:tbl>
    <w:p>
      <w:pPr>
        <w:pStyle w:val="Heading1"/>
      </w:pPr>
      <w:r>
        <w:t>7. Validation results</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2E526D"/>
          </w:tcPr>
          <w:p>
            <w:pPr>
              <w:spacing w:after="0"/>
            </w:pPr>
            <w:r/>
            <w:r>
              <w:rPr>
                <w:rFonts w:ascii="Arial" w:hAnsi="Arial"/>
                <w:b/>
                <w:color w:val="FFFFFF"/>
                <w:sz w:val="18"/>
              </w:rPr>
              <w:t>Control / validation</w:t>
            </w:r>
          </w:p>
        </w:tc>
        <w:tc>
          <w:tcPr>
            <w:tcW w:type="dxa" w:w="3360"/>
            <w:vAlign w:val="center"/>
            <w:shd w:fill="2E526D"/>
          </w:tcPr>
          <w:p>
            <w:pPr>
              <w:spacing w:after="0"/>
            </w:pPr>
            <w:r/>
            <w:r>
              <w:rPr>
                <w:rFonts w:ascii="Arial" w:hAnsi="Arial"/>
                <w:b/>
                <w:color w:val="FFFFFF"/>
                <w:sz w:val="18"/>
              </w:rPr>
              <w:t>Result</w:t>
            </w:r>
          </w:p>
        </w:tc>
        <w:tc>
          <w:tcPr>
            <w:tcW w:type="dxa" w:w="3360"/>
            <w:vAlign w:val="center"/>
            <w:shd w:fill="2E526D"/>
          </w:tcPr>
          <w:p>
            <w:pPr>
              <w:spacing w:after="0"/>
            </w:pPr>
            <w:r/>
            <w:r>
              <w:rPr>
                <w:rFonts w:ascii="Arial" w:hAnsi="Arial"/>
                <w:b/>
                <w:color w:val="FFFFFF"/>
                <w:sz w:val="18"/>
              </w:rPr>
              <w:t>Evidence / observation</w:t>
            </w:r>
          </w:p>
        </w:tc>
      </w:tr>
      <w:tr>
        <w:tc>
          <w:tcPr>
            <w:tcW w:type="dxa" w:w="3360"/>
            <w:vAlign w:val="center"/>
          </w:tcPr>
          <w:p>
            <w:pPr>
              <w:spacing w:after="0"/>
            </w:pPr>
            <w:r/>
            <w:r>
              <w:rPr>
                <w:rFonts w:ascii="Arial" w:hAnsi="Arial"/>
                <w:b w:val="0"/>
                <w:sz w:val="18"/>
              </w:rPr>
              <w:t>Azure backup availability reviewed</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Supporting Azure evidence demonstrates completed automated backups and configured retention.</w:t>
            </w:r>
          </w:p>
        </w:tc>
      </w:tr>
      <w:tr>
        <w:tc>
          <w:tcPr>
            <w:tcW w:type="dxa" w:w="3360"/>
            <w:vAlign w:val="center"/>
          </w:tcPr>
          <w:p>
            <w:pPr>
              <w:spacing w:after="0"/>
            </w:pPr>
            <w:r/>
            <w:r>
              <w:rPr>
                <w:rFonts w:ascii="Arial" w:hAnsi="Arial"/>
                <w:b w:val="0"/>
                <w:sz w:val="18"/>
              </w:rPr>
              <w:t>Backup restored to OVHcloud staging</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 xml:space="preserve">Actual restore performed by [PERSON_005] as part of the migration.</w:t>
            </w:r>
          </w:p>
        </w:tc>
      </w:tr>
      <w:tr>
        <w:tc>
          <w:tcPr>
            <w:tcW w:type="dxa" w:w="3360"/>
            <w:vAlign w:val="center"/>
          </w:tcPr>
          <w:p>
            <w:pPr>
              <w:spacing w:after="0"/>
            </w:pPr>
            <w:r/>
            <w:r>
              <w:rPr>
                <w:rFonts w:ascii="Arial" w:hAnsi="Arial"/>
                <w:b w:val="0"/>
                <w:sz w:val="18"/>
              </w:rPr>
              <w:t>Staging environment validated</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Recovered environment validated before production cutover.</w:t>
            </w:r>
          </w:p>
        </w:tc>
      </w:tr>
      <w:tr>
        <w:tc>
          <w:tcPr>
            <w:tcW w:type="dxa" w:w="3360"/>
            <w:vAlign w:val="center"/>
          </w:tcPr>
          <w:p>
            <w:pPr>
              <w:spacing w:after="0"/>
            </w:pPr>
            <w:r/>
            <w:r>
              <w:rPr>
                <w:rFonts w:ascii="Arial" w:hAnsi="Arial"/>
                <w:b w:val="0"/>
                <w:sz w:val="18"/>
              </w:rPr>
              <w:t>Production environment operational</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 xml:space="preserve">[PERSON_001] successfully went live on OVHcloud.</w:t>
            </w:r>
          </w:p>
        </w:tc>
      </w:tr>
      <w:tr>
        <w:tc>
          <w:tcPr>
            <w:tcW w:type="dxa" w:w="3360"/>
            <w:vAlign w:val="center"/>
          </w:tcPr>
          <w:p>
            <w:pPr>
              <w:spacing w:after="0"/>
            </w:pPr>
            <w:r/>
            <w:r>
              <w:rPr>
                <w:rFonts w:ascii="Arial" w:hAnsi="Arial"/>
                <w:b w:val="0"/>
                <w:sz w:val="18"/>
              </w:rPr>
              <w:t>Existing customers/accounts/data available</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Existing information was checked and remained available and accessible.</w:t>
            </w:r>
          </w:p>
        </w:tc>
      </w:tr>
      <w:tr>
        <w:tc>
          <w:tcPr>
            <w:tcW w:type="dxa" w:w="3360"/>
            <w:vAlign w:val="center"/>
          </w:tcPr>
          <w:p>
            <w:pPr>
              <w:spacing w:after="0"/>
            </w:pPr>
            <w:r/>
            <w:r>
              <w:rPr>
                <w:rFonts w:ascii="Arial" w:hAnsi="Arial"/>
                <w:b w:val="0"/>
                <w:sz w:val="18"/>
              </w:rPr>
              <w:t>Data loss</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No data loss was identified. Observed RPO: 0.</w:t>
            </w:r>
          </w:p>
        </w:tc>
      </w:tr>
      <w:tr>
        <w:tc>
          <w:tcPr>
            <w:tcW w:type="dxa" w:w="3360"/>
            <w:vAlign w:val="center"/>
          </w:tcPr>
          <w:p>
            <w:pPr>
              <w:spacing w:after="0"/>
            </w:pPr>
            <w:r/>
            <w:r>
              <w:rPr>
                <w:rFonts w:ascii="Arial" w:hAnsi="Arial"/>
                <w:b w:val="0"/>
                <w:sz w:val="18"/>
              </w:rPr>
              <w:t>Platform access and core functionality</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Platform operated correctly after recovery.</w:t>
            </w:r>
          </w:p>
        </w:tc>
      </w:tr>
      <w:tr>
        <w:tc>
          <w:tcPr>
            <w:tcW w:type="dxa" w:w="3360"/>
            <w:vAlign w:val="center"/>
          </w:tcPr>
          <w:p>
            <w:pPr>
              <w:spacing w:after="0"/>
            </w:pPr>
            <w:r/>
            <w:r>
              <w:rPr>
                <w:rFonts w:ascii="Arial" w:hAnsi="Arial"/>
                <w:b w:val="0"/>
                <w:sz w:val="18"/>
              </w:rPr>
              <w:t>New verification</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A new verification was executed successfully.</w:t>
            </w:r>
          </w:p>
        </w:tc>
      </w:tr>
      <w:tr>
        <w:tc>
          <w:tcPr>
            <w:tcW w:type="dxa" w:w="3360"/>
            <w:vAlign w:val="center"/>
          </w:tcPr>
          <w:p>
            <w:pPr>
              <w:spacing w:after="0"/>
            </w:pPr>
            <w:r/>
            <w:r>
              <w:rPr>
                <w:rFonts w:ascii="Arial" w:hAnsi="Arial"/>
                <w:b w:val="0"/>
                <w:sz w:val="18"/>
              </w:rPr>
              <w:t>Sumsub integration</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Integration and result processing operated correctly.</w:t>
            </w:r>
          </w:p>
        </w:tc>
      </w:tr>
      <w:tr>
        <w:tc>
          <w:tcPr>
            <w:tcW w:type="dxa" w:w="3360"/>
            <w:vAlign w:val="center"/>
          </w:tcPr>
          <w:p>
            <w:pPr>
              <w:spacing w:after="0"/>
            </w:pPr>
            <w:r/>
            <w:r>
              <w:rPr>
                <w:rFonts w:ascii="Arial" w:hAnsi="Arial"/>
                <w:b w:val="0"/>
                <w:sz w:val="18"/>
              </w:rPr>
              <w:t>Technical stability</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 xml:space="preserve">[PERSON_005] confirmed database, infrastructure and services were stable.</w:t>
            </w:r>
          </w:p>
        </w:tc>
      </w:tr>
      <w:tr>
        <w:tc>
          <w:tcPr>
            <w:tcW w:type="dxa" w:w="3360"/>
            <w:vAlign w:val="center"/>
          </w:tcPr>
          <w:p>
            <w:pPr>
              <w:spacing w:after="0"/>
            </w:pPr>
            <w:r/>
            <w:r>
              <w:rPr>
                <w:rFonts w:ascii="Arial" w:hAnsi="Arial"/>
                <w:b w:val="0"/>
                <w:sz w:val="18"/>
              </w:rPr>
              <w:t>Recovery time</w:t>
            </w:r>
          </w:p>
        </w:tc>
        <w:tc>
          <w:tcPr>
            <w:tcW w:type="dxa" w:w="3360"/>
            <w:vAlign w:val="center"/>
          </w:tcPr>
          <w:p>
            <w:pPr>
              <w:spacing w:after="0"/>
            </w:pPr>
            <w:r/>
            <w:r>
              <w:rPr>
                <w:rFonts w:ascii="Arial" w:hAnsi="Arial"/>
                <w:b/>
                <w:sz w:val="18"/>
              </w:rPr>
              <w:t>PASS</w:t>
            </w:r>
          </w:p>
        </w:tc>
        <w:tc>
          <w:tcPr>
            <w:tcW w:type="dxa" w:w="3360"/>
            <w:vAlign w:val="center"/>
          </w:tcPr>
          <w:p>
            <w:pPr>
              <w:spacing w:after="0"/>
            </w:pPr>
            <w:r/>
            <w:r>
              <w:rPr>
                <w:rFonts w:ascii="Arial" w:hAnsi="Arial"/>
                <w:b w:val="0"/>
                <w:sz w:val="18"/>
              </w:rPr>
              <w:t>Total staging restore, validation and production cutover completed in approximately 1 hour.</w:t>
            </w:r>
          </w:p>
        </w:tc>
      </w:tr>
    </w:tbl>
    <w:p>
      <w:pPr>
        <w:pStyle w:val="Heading1"/>
      </w:pPr>
      <w:r>
        <w:t>8. Availability and recovery performance</w:t>
      </w:r>
    </w:p>
    <w:p>
      <w:r>
        <w:t xml:space="preserve">The production migration required approximately one hour of planned service unavailability. This period was planned, coordinated and communicated in advance. After approximately one hour, [PERSON_001] was fully operational in the OVHcloud production environment.</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2E526D"/>
          </w:tcPr>
          <w:p>
            <w:pPr>
              <w:spacing w:after="0"/>
            </w:pPr>
            <w:r/>
            <w:r>
              <w:rPr>
                <w:rFonts w:ascii="Arial" w:hAnsi="Arial"/>
                <w:b/>
                <w:color w:val="FFFFFF"/>
                <w:sz w:val="18"/>
              </w:rPr>
              <w:t>Target RTO</w:t>
            </w:r>
          </w:p>
        </w:tc>
        <w:tc>
          <w:tcPr>
            <w:tcW w:type="dxa" w:w="5040"/>
            <w:vAlign w:val="center"/>
          </w:tcPr>
          <w:p>
            <w:pPr>
              <w:spacing w:after="0"/>
            </w:pPr>
            <w:r/>
            <w:r>
              <w:rPr>
                <w:rFonts w:ascii="Arial" w:hAnsi="Arial"/>
                <w:b w:val="0"/>
                <w:sz w:val="18"/>
              </w:rPr>
              <w:t>&lt;= 24 hours</w:t>
            </w:r>
          </w:p>
        </w:tc>
      </w:tr>
      <w:tr>
        <w:tc>
          <w:tcPr>
            <w:tcW w:type="dxa" w:w="5040"/>
            <w:vAlign w:val="center"/>
            <w:shd w:fill="2E526D"/>
          </w:tcPr>
          <w:p>
            <w:pPr>
              <w:spacing w:after="0"/>
            </w:pPr>
            <w:r/>
            <w:r>
              <w:rPr>
                <w:rFonts w:ascii="Arial" w:hAnsi="Arial"/>
                <w:b/>
                <w:color w:val="FFFFFF"/>
                <w:sz w:val="18"/>
              </w:rPr>
              <w:t>Observed RTO</w:t>
            </w:r>
          </w:p>
        </w:tc>
        <w:tc>
          <w:tcPr>
            <w:tcW w:type="dxa" w:w="5040"/>
            <w:vAlign w:val="center"/>
          </w:tcPr>
          <w:p>
            <w:pPr>
              <w:spacing w:after="0"/>
            </w:pPr>
            <w:r/>
            <w:r>
              <w:rPr>
                <w:rFonts w:ascii="Arial" w:hAnsi="Arial"/>
                <w:b w:val="0"/>
                <w:sz w:val="18"/>
              </w:rPr>
              <w:t>Approximately 1 hour</w:t>
            </w:r>
          </w:p>
        </w:tc>
      </w:tr>
      <w:tr>
        <w:tc>
          <w:tcPr>
            <w:tcW w:type="dxa" w:w="5040"/>
            <w:vAlign w:val="center"/>
            <w:shd w:fill="2E526D"/>
          </w:tcPr>
          <w:p>
            <w:pPr>
              <w:spacing w:after="0"/>
            </w:pPr>
            <w:r/>
            <w:r>
              <w:rPr>
                <w:rFonts w:ascii="Arial" w:hAnsi="Arial"/>
                <w:b/>
                <w:color w:val="FFFFFF"/>
                <w:sz w:val="18"/>
              </w:rPr>
              <w:t>Target RPO</w:t>
            </w:r>
          </w:p>
        </w:tc>
        <w:tc>
          <w:tcPr>
            <w:tcW w:type="dxa" w:w="5040"/>
            <w:vAlign w:val="center"/>
          </w:tcPr>
          <w:p>
            <w:pPr>
              <w:spacing w:after="0"/>
            </w:pPr>
            <w:r/>
            <w:r>
              <w:rPr>
                <w:rFonts w:ascii="Arial" w:hAnsi="Arial"/>
                <w:b w:val="0"/>
                <w:sz w:val="18"/>
              </w:rPr>
              <w:t>&lt;= 24 hours</w:t>
            </w:r>
          </w:p>
        </w:tc>
      </w:tr>
      <w:tr>
        <w:tc>
          <w:tcPr>
            <w:tcW w:type="dxa" w:w="5040"/>
            <w:vAlign w:val="center"/>
            <w:shd w:fill="2E526D"/>
          </w:tcPr>
          <w:p>
            <w:pPr>
              <w:spacing w:after="0"/>
            </w:pPr>
            <w:r/>
            <w:r>
              <w:rPr>
                <w:rFonts w:ascii="Arial" w:hAnsi="Arial"/>
                <w:b/>
                <w:color w:val="FFFFFF"/>
                <w:sz w:val="18"/>
              </w:rPr>
              <w:t>Observed RPO</w:t>
            </w:r>
          </w:p>
        </w:tc>
        <w:tc>
          <w:tcPr>
            <w:tcW w:type="dxa" w:w="5040"/>
            <w:vAlign w:val="center"/>
          </w:tcPr>
          <w:p>
            <w:pPr>
              <w:spacing w:after="0"/>
            </w:pPr>
            <w:r/>
            <w:r>
              <w:rPr>
                <w:rFonts w:ascii="Arial" w:hAnsi="Arial"/>
                <w:b w:val="0"/>
                <w:sz w:val="18"/>
              </w:rPr>
              <w:t>0 - no data loss identified</w:t>
            </w:r>
          </w:p>
        </w:tc>
      </w:tr>
      <w:tr>
        <w:tc>
          <w:tcPr>
            <w:tcW w:type="dxa" w:w="5040"/>
            <w:vAlign w:val="center"/>
            <w:shd w:fill="2E526D"/>
          </w:tcPr>
          <w:p>
            <w:pPr>
              <w:spacing w:after="0"/>
            </w:pPr>
            <w:r/>
            <w:r>
              <w:rPr>
                <w:rFonts w:ascii="Arial" w:hAnsi="Arial"/>
                <w:b/>
                <w:color w:val="FFFFFF"/>
                <w:sz w:val="18"/>
              </w:rPr>
              <w:t>Planned unavailability</w:t>
            </w:r>
          </w:p>
        </w:tc>
        <w:tc>
          <w:tcPr>
            <w:tcW w:type="dxa" w:w="5040"/>
            <w:vAlign w:val="center"/>
          </w:tcPr>
          <w:p>
            <w:pPr>
              <w:spacing w:after="0"/>
            </w:pPr>
            <w:r/>
            <w:r>
              <w:rPr>
                <w:rFonts w:ascii="Arial" w:hAnsi="Arial"/>
                <w:b w:val="0"/>
                <w:sz w:val="18"/>
              </w:rPr>
              <w:t>Approximately 1 hour</w:t>
            </w:r>
          </w:p>
        </w:tc>
      </w:tr>
      <w:tr>
        <w:tc>
          <w:tcPr>
            <w:tcW w:type="dxa" w:w="5040"/>
            <w:vAlign w:val="center"/>
            <w:shd w:fill="2E526D"/>
          </w:tcPr>
          <w:p>
            <w:pPr>
              <w:spacing w:after="0"/>
            </w:pPr>
            <w:r/>
            <w:r>
              <w:rPr>
                <w:rFonts w:ascii="Arial" w:hAnsi="Arial"/>
                <w:b/>
                <w:color w:val="FFFFFF"/>
                <w:sz w:val="18"/>
              </w:rPr>
              <w:t>Recovery objective result</w:t>
            </w:r>
          </w:p>
        </w:tc>
        <w:tc>
          <w:tcPr>
            <w:tcW w:type="dxa" w:w="5040"/>
            <w:vAlign w:val="center"/>
          </w:tcPr>
          <w:p>
            <w:pPr>
              <w:spacing w:after="0"/>
            </w:pPr>
            <w:r/>
            <w:r>
              <w:rPr>
                <w:rFonts w:ascii="Arial" w:hAnsi="Arial"/>
                <w:b w:val="0"/>
                <w:sz w:val="18"/>
              </w:rPr>
              <w:t>PASS</w:t>
            </w:r>
          </w:p>
        </w:tc>
      </w:tr>
    </w:tbl>
    <w:p/>
    <w:p>
      <w:pPr>
        <w:pStyle w:val="Heading1"/>
      </w:pPr>
      <w:r>
        <w:t>9. Deviations, incidents and improvements</w:t>
      </w:r>
    </w:p>
    <w:p>
      <w:r>
        <w:t>No errors, incidents, unexpected recovery issues or deviations were identified during the exercise or production migration. No corrective actions or specific improvement actions were considered necessary as a direct result of this exercise.</w:t>
      </w:r>
    </w:p>
    <w:p>
      <w:pPr>
        <w:pStyle w:val="Heading1"/>
      </w:pPr>
      <w:r>
        <w:t>10. Evidence</w:t>
      </w:r>
    </w:p>
    <w:p>
      <w:r>
        <w:t xml:space="preserve">The ISMS evidence package for this exercise consists of this signed report and the separately archived Azure backup evidence. The Azure evidence supports the availability and successful completion of automated backups. It does not, by itself, evidence the restore performed on [DATE_002]. The actual restore, migration, technical validation and functional validation are recorded in this report and are formally attested by the [PERSON_001] and [PERSON_005] signatories.</w:t>
      </w:r>
    </w:p>
    <w:p>
      <w:r>
        <w:t xml:space="preserve">Supporting evidence file: [PATIENT_ID_001] [PERSON_001] Disaster Recover Backup Azure.pdf. The screenshot shows the Azure Database for PostgreSQL backup and restore view, including completed automated backups and backup retention information. Because the screenshot was captured before the final migration date, it is treated as supporting evidence of the backup process rather than evidence of the specific [DATE_004] restore.</w:t>
      </w:r>
    </w:p>
    <w:p>
      <w:pPr>
        <w:pStyle w:val="Heading1"/>
      </w:pPr>
      <w:r>
        <w:t>11. Overall conclusion</w:t>
      </w:r>
    </w:p>
    <w:p>
      <w:r>
        <w:rPr>
          <w:b/>
          <w:color w:val="18324A"/>
          <w:sz w:val="26"/>
        </w:rPr>
        <w:t>OVERALL RESULT: PASS</w:t>
      </w:r>
    </w:p>
    <w:p>
      <w:r>
        <w:t xml:space="preserve">The [DATE_003] disaster recovery exercise successfully demonstrated [PERSON_002].'s ability to recover its critical platform and data from backup and resume operations within the defined recovery objectives. A real backup restore was completed as part of the Microsoft Azure to OVHcloud migration. Recovery was first validated in staging and then moved to production. No data loss was identified, the platform and integration functionality operated correctly, and the total recovery/cutover period was approximately one hour. [PERSON_007] RTO and RPO objectives were therefore achieved.</w:t>
      </w:r>
    </w:p>
    <w:p>
      <w:pPr>
        <w:pStyle w:val="Heading1"/>
      </w:pPr>
      <w:r>
        <w:t>12. Formal sign-off</w:t>
      </w:r>
    </w:p>
    <w:p>
      <w:r>
        <w:t xml:space="preserve">By signing below, the undersigned confirm that the recovery activities and results described in this report accurately reflect the disaster recovery exercise and production migration performed in [DATE_003].</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5ED"/>
          </w:tcPr>
          <w:p>
            <w:pPr>
              <w:spacing w:after="0"/>
            </w:pPr>
            <w:r/>
            <w:r>
              <w:rPr>
                <w:rFonts w:ascii="Arial" w:hAnsi="Arial"/>
                <w:b/>
                <w:sz w:val="18"/>
              </w:rPr>
              <w:t xml:space="preserve">[PERSON_002].</w:t>
            </w:r>
          </w:p>
        </w:tc>
        <w:tc>
          <w:tcPr>
            <w:tcW w:type="dxa" w:w="5040"/>
            <w:vAlign w:val="center"/>
            <w:shd w:fill="D9E5ED"/>
          </w:tcPr>
          <w:p>
            <w:pPr>
              <w:spacing w:after="0"/>
            </w:pPr>
            <w:r/>
            <w:r>
              <w:rPr>
                <w:rFonts w:ascii="Arial" w:hAnsi="Arial"/>
                <w:b/>
                <w:sz w:val="18"/>
              </w:rPr>
              <w:t xml:space="preserve">[PERSON_005]</w:t>
            </w:r>
          </w:p>
        </w:tc>
      </w:tr>
      <w:tr>
        <w:tc>
          <w:tcPr>
            <w:tcW w:type="dxa" w:w="5040"/>
            <w:vAlign w:val="center"/>
          </w:tcPr>
          <w:p>
            <w:pPr>
              <w:spacing w:after="0"/>
            </w:pPr>
            <w:r/>
            <w:r>
              <w:rPr>
                <w:rFonts w:ascii="Arial" w:hAnsi="Arial"/>
                <w:b/>
                <w:sz w:val="18"/>
              </w:rPr>
              <w:t xml:space="preserve">[PERSON_003]</w:t>
            </w:r>
          </w:p>
        </w:tc>
        <w:tc>
          <w:tcPr>
            <w:tcW w:type="dxa" w:w="5040"/>
            <w:vAlign w:val="center"/>
          </w:tcPr>
          <w:p>
            <w:pPr>
              <w:spacing w:after="0"/>
            </w:pPr>
            <w:r/>
            <w:r>
              <w:rPr>
                <w:rFonts w:ascii="Arial" w:hAnsi="Arial"/>
                <w:b/>
                <w:sz w:val="18"/>
              </w:rPr>
              <w:t xml:space="preserve">[PERSON_004]</w:t>
            </w:r>
          </w:p>
        </w:tc>
      </w:tr>
      <w:tr>
        <w:tc>
          <w:tcPr>
            <w:tcW w:type="dxa" w:w="5040"/>
            <w:vAlign w:val="center"/>
          </w:tcPr>
          <w:p>
            <w:pPr>
              <w:spacing w:after="0"/>
            </w:pPr>
            <w:r/>
            <w:r>
              <w:rPr>
                <w:rFonts w:ascii="Arial" w:hAnsi="Arial"/>
                <w:b w:val="0"/>
                <w:sz w:val="18"/>
              </w:rPr>
              <w:t xml:space="preserve">[PROFESSION_001] Manager / Test Owner</w:t>
            </w:r>
          </w:p>
        </w:tc>
        <w:tc>
          <w:tcPr>
            <w:tcW w:type="dxa" w:w="5040"/>
            <w:vAlign w:val="center"/>
          </w:tcPr>
          <w:p>
            <w:pPr>
              <w:spacing w:after="0"/>
            </w:pPr>
            <w:r/>
            <w:r>
              <w:rPr>
                <w:rFonts w:ascii="Arial" w:hAnsi="Arial"/>
                <w:b w:val="0"/>
                <w:sz w:val="18"/>
              </w:rPr>
              <w:t xml:space="preserve">[ORGANIZATION_001]</w:t>
            </w:r>
          </w:p>
        </w:tc>
      </w:tr>
      <w:tr>
        <w:tc>
          <w:tcPr>
            <w:tcW w:type="dxa" w:w="5040"/>
            <w:vAlign w:val="center"/>
          </w:tcPr>
          <w:p>
            <w:pPr>
              <w:spacing w:after="0"/>
            </w:pPr>
            <w:r/>
            <w:r>
              <w:rPr>
                <w:rFonts w:ascii="Arial" w:hAnsi="Arial"/>
                <w:b w:val="0"/>
                <w:sz w:val="18"/>
              </w:rPr>
              <w:t>Signature: __________________________</w:t>
            </w:r>
          </w:p>
        </w:tc>
        <w:tc>
          <w:tcPr>
            <w:tcW w:type="dxa" w:w="5040"/>
            <w:vAlign w:val="center"/>
          </w:tcPr>
          <w:p>
            <w:pPr>
              <w:spacing w:after="0"/>
            </w:pPr>
            <w:r/>
            <w:r>
              <w:rPr>
                <w:rFonts w:ascii="Arial" w:hAnsi="Arial"/>
                <w:b w:val="0"/>
                <w:sz w:val="18"/>
              </w:rPr>
              <w:t>Signature: __________________________</w:t>
            </w:r>
          </w:p>
        </w:tc>
      </w:tr>
      <w:tr>
        <w:tc>
          <w:tcPr>
            <w:tcW w:type="dxa" w:w="5040"/>
            <w:vAlign w:val="center"/>
          </w:tcPr>
          <w:p>
            <w:pPr>
              <w:spacing w:after="0"/>
            </w:pPr>
            <w:r/>
            <w:r>
              <w:rPr>
                <w:rFonts w:ascii="Arial" w:hAnsi="Arial"/>
                <w:b w:val="0"/>
                <w:sz w:val="18"/>
              </w:rPr>
              <w:t>Date: ______________________________</w:t>
            </w:r>
          </w:p>
        </w:tc>
        <w:tc>
          <w:tcPr>
            <w:tcW w:type="dxa" w:w="5040"/>
            <w:vAlign w:val="center"/>
          </w:tcPr>
          <w:p>
            <w:pPr>
              <w:spacing w:after="0"/>
            </w:pPr>
            <w:r/>
            <w:r>
              <w:rPr>
                <w:rFonts w:ascii="Arial" w:hAnsi="Arial"/>
                <w:b w:val="0"/>
                <w:sz w:val="18"/>
              </w:rPr>
              <w:t>Date: ______________________________</w:t>
            </w:r>
          </w:p>
        </w:tc>
      </w:tr>
    </w:tbl>
    <w:p/>
    <w:p>
      <w:r>
        <w:rPr>
          <w:b/>
        </w:rPr>
        <w:t>Document control note</w:t>
      </w:r>
    </w:p>
    <w:p>
      <w:r>
        <w:t xml:space="preserve">Store the signed final version of this report together with the supporting Azure backup evidence in [PERSON_001]'s ISMS archive. This document records the actual outcome of the exercise and should not be altered after sign-off except through controlled versioning.</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Confidential - ISO/IEC 27001:2022 evidence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6464"/>
        <w:sz w:val="16"/>
      </w:rPr>
      <w:t xml:space="preserve">[PERSON_002]. | ISMS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8324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E526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32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